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22A35"/>
          <w:sz w:val="30"/>
          <w:szCs w:val="30"/>
        </w:rPr>
        <w:t xml:space="preserve">Ocena skutków dla ochrony danych (DPIA, art. 35 RODO) — WZÓR DLA KLIENTA</w:t>
      </w:r>
    </w:p>
    <w:p>
      <w:pPr>
        <w:pBdr>
          <w:bottom w:val="single" w:color="E67E22" w:sz="12"/>
        </w:pBdr>
        <w:spacing w:after="240"/>
      </w:pPr>
      <w:r>
        <w:rPr>
          <w:color w:val="6B7280"/>
          <w:sz w:val="20"/>
          <w:szCs w:val="20"/>
        </w:rPr>
        <w:t xml:space="preserve">Administrator: [NAZWA KLIENTA], [adres], NIP [NIP] · System: AMZPro (dostawca: Worpol Sławomir Worosilak, ul. Poświątne 102, 18‑300 Zambrów, NIP PL7231488318, biuro@amzpro.eu, +48 790 545 447)</w:t>
      </w:r>
    </w:p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Dlaczego: geolokalizacja pracowników i systematyczne monitorowanie pracy znajdują się w wykazie operacji wymagających DPIA (komunikat Prezesa UODO). Wzór wypełnia Klient (pracodawca) — pola w nawiasach kwadratowych.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1. Opis operacji</w:t>
      </w:r>
    </w:p>
    <w:p>
      <w:pPr>
        <w:spacing w:after="110" w:line="290"/>
      </w:pPr>
      <w:r>
        <w:rPr>
          <w:sz w:val="21"/>
          <w:szCs w:val="21"/>
        </w:rPr>
        <w:t xml:space="preserve">Przetwarzanie danych kierowców w AMZPro: pozycje GPS z aplikacji kierowcy (tylko gdy aplikacja jest otwarta i kierowca zezwolił na lokalizację) i/lub z telematyki pojazdu [wskazać system], statusy pracy, zdjęcia paragonów i tankowań, wpisy wydatków, terminy dokumentów, przypisanie do pojazdu, wiadomości do dyspozytora. Cel: organizacja przewozów (przydział tras, łańcuchy zgodne z czasem pracy), rozliczenie paliwa i wydatków, kontrola przestojów, bezpieczeństwo ładunku i kierowcy. Podstawa: art. 6 ust. 1 lit. b (umowa/stosunek pracy), lit. c (czas pracy, rozliczenia), lit. f (uzasadniony interes: organizacja pracy, ochrona mienia). Podmioty: kierowcy [liczba], dyspozytorzy [liczba]. Okres: czas zatrudnienia/współpracy + okresy wymagane prawem [np. 3 lata dokumentacja czasu pracy].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2. Niezbędność i proporcjonalność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sz w:val="21"/>
          <w:szCs w:val="21"/>
        </w:rPr>
        <w:t xml:space="preserve">Cel nie może być osiągnięty bez pozycji pojazdu (dopasowanie ładunków, przestoje, czas pracy) — dane ograniczone do minimum (brak śledzenia poza pracą: kierowca zamyka aplikację; telematyka: [ustawienie trybu prywatnego / wyłączenie po godzinach]).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sz w:val="21"/>
          <w:szCs w:val="21"/>
        </w:rPr>
        <w:t xml:space="preserve">Kierowcy poinformowani (art. 13 RODO + art. 22² i 22³ KP: informacja na 2 tygodnie przed, wpis do regulaminu pracy/obwieszczenia — dok. 7).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sz w:val="21"/>
          <w:szCs w:val="21"/>
        </w:rPr>
        <w:t xml:space="preserve">Brak decyzji zautomatyzowanych (art. 22): ranking/statystyki są informacją dla dyspozytora; decyzje kadrowe podejmuje człowiek na podstawie całokształtu.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sz w:val="21"/>
          <w:szCs w:val="21"/>
        </w:rPr>
        <w:t xml:space="preserve">Prawa osób realizowane przez dyspozytora/administratora w programie (eksport, usunięcie) i przez [e‑mail/osoba kontaktowa].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3. Ryzyka dla osób i środki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Ryzyko dla kierowcy</w:t>
            </w:r>
          </w:p>
        </w:tc>
        <w:tc>
          <w:tcPr>
            <w:tcW w:type="pct" w:w="6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</w:t>
            </w:r>
          </w:p>
        </w:tc>
        <w:tc>
          <w:tcPr>
            <w:tcW w:type="pct" w:w="6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pct" w:w="44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Środki</w:t>
            </w:r>
          </w:p>
        </w:tc>
        <w:tc>
          <w:tcPr>
            <w:tcW w:type="pct" w:w="14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Ryzyko końcowe</w:t>
            </w:r>
          </w:p>
        </w:tc>
      </w:tr>
      <w:tr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Nadmierna kontrola / naruszenie prywatności (śledzenie poza pracą)</w:t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4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GPS tylko przy otwartej aplikacji; zasada w regulaminie pracy; brak podglądu poza godzinami pracy [opisać]</w:t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niskie</w:t>
            </w:r>
          </w:p>
        </w:tc>
      </w:tr>
      <w:tr>
        <w:tc>
          <w:tcPr>
            <w:tcW w:type="pct" w:w="30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Wykorzystanie danych do sankcji bez kontekstu</w:t>
            </w:r>
          </w:p>
        </w:tc>
        <w:tc>
          <w:tcPr>
            <w:tcW w:type="pct" w:w="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4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zakaz decyzji wyłącznie na podstawie danych systemu; rozmowa z pracownikiem; dziennik kto oglądał</w:t>
            </w:r>
          </w:p>
        </w:tc>
        <w:tc>
          <w:tcPr>
            <w:tcW w:type="pct" w:w="1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niskie</w:t>
            </w:r>
          </w:p>
        </w:tc>
      </w:tr>
      <w:tr>
        <w:tc>
          <w:tcPr>
            <w:tcW w:type="pct" w:w="3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Wyciek danych (lokalizacja, zdjęcia)</w:t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nis.</w:t>
            </w:r>
          </w:p>
        </w:tc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4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TLS, osobna baza, kopie, dostęp tylko upoważnionych dyspozytorów, umowa powierzenia z AMZPro</w:t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niskie</w:t>
            </w:r>
          </w:p>
        </w:tc>
      </w:tr>
      <w:tr>
        <w:tc>
          <w:tcPr>
            <w:tcW w:type="pct" w:w="30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Ujawnienie danych zdrowotnych z paragonów/wiadomości</w:t>
            </w:r>
          </w:p>
        </w:tc>
        <w:tc>
          <w:tcPr>
            <w:tcW w:type="pct" w:w="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nis.</w:t>
            </w:r>
          </w:p>
        </w:tc>
        <w:tc>
          <w:tcPr>
            <w:tcW w:type="pct" w:w="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śr.</w:t>
            </w:r>
          </w:p>
        </w:tc>
        <w:tc>
          <w:tcPr>
            <w:tcW w:type="pct" w:w="4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instrukcja dla kierowców: nie przesyłać dokumentów medycznych; kasowanie na żądanie</w:t>
            </w:r>
          </w:p>
        </w:tc>
        <w:tc>
          <w:tcPr>
            <w:tcW w:type="pct" w:w="1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niskie</w:t>
            </w:r>
          </w:p>
        </w:tc>
      </w:tr>
    </w:tbl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4. Wynik</w:t>
      </w:r>
    </w:p>
    <w:p>
      <w:pPr>
        <w:spacing w:after="110" w:line="290"/>
      </w:pPr>
      <w:r>
        <w:rPr>
          <w:sz w:val="21"/>
          <w:szCs w:val="21"/>
        </w:rPr>
        <w:t xml:space="preserve">Po zastosowaniu środków ryzyko dla praw i wolności osób jest [niskie]. Konsultacja z Prezesem UODO (art. 36) nie jest wymagana. Opinia IOD (jeśli powołany): [ ]. Data: [ ]  Podpis administratora: ______________  Przegląd: co 12 miesięcy lub przy zmianie zakresu (np. włączenie telematyki, WhatsApp).</w:t>
      </w:r>
    </w:p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Dokument wewnętrzny/wzór przygotowany na potrzeby AMZPro. Zalecana weryfikacja przez radcę prawnego. Nie stanowi porady prawnej.</w:t>
      </w:r>
    </w:p>
    <w:sectPr>
      <w:pgSz w:w="11906" w:h="16838" w:orient="portrait"/>
      <w:pgMar w:top="11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2026-08-17T10:14:47.152Z</dcterms:created>
  <dcterms:modified xsi:type="dcterms:W3CDTF">2026-08-17T10:14:47.152Z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